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03C71229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580949">
        <w:rPr>
          <w:sz w:val="24"/>
          <w:szCs w:val="24"/>
        </w:rPr>
        <w:t>5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2EC85EC7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171EE1">
        <w:rPr>
          <w:sz w:val="24"/>
        </w:rPr>
        <w:t>0</w:t>
      </w:r>
      <w:r w:rsidR="00171EE1">
        <w:rPr>
          <w:b/>
          <w:bCs/>
          <w:sz w:val="24"/>
        </w:rPr>
        <w:t>5.74</w:t>
      </w:r>
      <w:r w:rsidR="00941311" w:rsidRPr="00941311">
        <w:rPr>
          <w:b/>
          <w:bCs/>
          <w:sz w:val="24"/>
        </w:rPr>
        <w:t xml:space="preserve"> </w:t>
      </w:r>
      <w:r w:rsidR="00171EE1">
        <w:rPr>
          <w:b/>
          <w:bCs/>
          <w:sz w:val="24"/>
        </w:rPr>
        <w:t>GS</w:t>
      </w:r>
      <w:r w:rsidR="00941311" w:rsidRPr="00941311">
        <w:rPr>
          <w:b/>
          <w:bCs/>
          <w:sz w:val="24"/>
        </w:rPr>
        <w:t xml:space="preserve"> 20</w:t>
      </w:r>
      <w:r w:rsidR="0037605A">
        <w:rPr>
          <w:b/>
          <w:bCs/>
          <w:sz w:val="24"/>
        </w:rPr>
        <w:t>2</w:t>
      </w:r>
      <w:r w:rsidR="00171EE1">
        <w:rPr>
          <w:b/>
          <w:bCs/>
          <w:sz w:val="24"/>
        </w:rPr>
        <w:t>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0B3CA3CC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171EE1">
        <w:rPr>
          <w:b/>
          <w:bCs/>
          <w:sz w:val="24"/>
        </w:rPr>
        <w:t>30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941311">
        <w:rPr>
          <w:b/>
          <w:bCs/>
          <w:sz w:val="24"/>
        </w:rPr>
        <w:t>June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6B62FFBF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171EE1">
        <w:rPr>
          <w:u w:val="single"/>
        </w:rPr>
        <w:t>05.74</w:t>
      </w:r>
      <w:r w:rsidR="00941311" w:rsidRPr="00941311">
        <w:rPr>
          <w:u w:val="single"/>
        </w:rPr>
        <w:t xml:space="preserve"> </w:t>
      </w:r>
      <w:r w:rsidR="00171EE1">
        <w:rPr>
          <w:u w:val="single"/>
        </w:rPr>
        <w:t>GS</w:t>
      </w:r>
      <w:r w:rsidR="00941311" w:rsidRPr="00941311">
        <w:rPr>
          <w:u w:val="single"/>
        </w:rPr>
        <w:t xml:space="preserve"> 20</w:t>
      </w:r>
      <w:r w:rsidR="0037605A">
        <w:rPr>
          <w:u w:val="single"/>
        </w:rPr>
        <w:t>2</w:t>
      </w:r>
      <w:r w:rsidR="00171EE1">
        <w:rPr>
          <w:u w:val="single"/>
        </w:rPr>
        <w:t>6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171EE1">
        <w:rPr>
          <w:u w:val="single"/>
        </w:rPr>
        <w:t>30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38185B">
        <w:rPr>
          <w:u w:val="single"/>
        </w:rPr>
        <w:t>June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04BDA615" w:rsidR="006D42C3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171EE1">
        <w:rPr>
          <w:sz w:val="24"/>
        </w:rPr>
        <w:t>30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June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745B1D">
        <w:rPr>
          <w:sz w:val="24"/>
        </w:rPr>
        <w:t>Seller</w:t>
      </w:r>
      <w:r w:rsidRPr="00A56580">
        <w:rPr>
          <w:sz w:val="24"/>
        </w:rPr>
        <w:t xml:space="preserve"> (</w:t>
      </w:r>
      <w:r w:rsidR="00A30CD0">
        <w:rPr>
          <w:rStyle w:val="acopre"/>
          <w:sz w:val="24"/>
          <w:szCs w:val="24"/>
        </w:rPr>
        <w:t xml:space="preserve">Public </w:t>
      </w:r>
      <w:r w:rsidR="007956D3">
        <w:rPr>
          <w:rStyle w:val="acopre"/>
          <w:sz w:val="24"/>
          <w:szCs w:val="24"/>
        </w:rPr>
        <w:t>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580949">
        <w:rPr>
          <w:sz w:val="24"/>
        </w:rPr>
        <w:t>seven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s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45B1D">
        <w:rPr>
          <w:sz w:val="24"/>
        </w:rPr>
        <w:t>Seller</w:t>
      </w:r>
      <w:r>
        <w:rPr>
          <w:sz w:val="24"/>
        </w:rPr>
        <w:t xml:space="preserve"> </w:t>
      </w:r>
      <w:r w:rsidR="00745B1D">
        <w:rPr>
          <w:sz w:val="24"/>
        </w:rPr>
        <w:t>sold</w:t>
      </w:r>
      <w:r w:rsidRPr="00655573">
        <w:rPr>
          <w:sz w:val="24"/>
        </w:rPr>
        <w:t xml:space="preserve"> </w:t>
      </w:r>
      <w:r w:rsidR="000E22C4">
        <w:rPr>
          <w:sz w:val="24"/>
        </w:rPr>
        <w:t>05.74</w:t>
      </w:r>
      <w:r>
        <w:rPr>
          <w:sz w:val="24"/>
        </w:rPr>
        <w:t xml:space="preserve"> G</w:t>
      </w:r>
      <w:r w:rsidR="000E22C4">
        <w:rPr>
          <w:sz w:val="24"/>
        </w:rPr>
        <w:t>S</w:t>
      </w:r>
      <w:r>
        <w:rPr>
          <w:sz w:val="24"/>
        </w:rPr>
        <w:t xml:space="preserve"> 20</w:t>
      </w:r>
      <w:r w:rsidR="00745B1D">
        <w:rPr>
          <w:sz w:val="24"/>
        </w:rPr>
        <w:t>2</w:t>
      </w:r>
      <w:r w:rsidR="00B73A7F">
        <w:rPr>
          <w:sz w:val="24"/>
        </w:rPr>
        <w:t>6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for total of Rs. </w:t>
      </w:r>
      <w:r w:rsidR="00AD1ACC">
        <w:rPr>
          <w:sz w:val="24"/>
        </w:rPr>
        <w:t>100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  <w:r w:rsidR="00AD1ACC">
        <w:rPr>
          <w:sz w:val="24"/>
        </w:rPr>
        <w:t>The details of the trades are given belo</w:t>
      </w:r>
      <w:r w:rsidR="00094144">
        <w:rPr>
          <w:sz w:val="24"/>
        </w:rPr>
        <w:t>w</w:t>
      </w:r>
    </w:p>
    <w:p w14:paraId="0485202C" w14:textId="77777777" w:rsidR="00094144" w:rsidRDefault="00094144" w:rsidP="00094144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90"/>
        <w:gridCol w:w="1613"/>
        <w:gridCol w:w="1367"/>
        <w:gridCol w:w="1490"/>
        <w:gridCol w:w="1490"/>
      </w:tblGrid>
      <w:tr w:rsidR="00AD1ACC" w14:paraId="5350553F" w14:textId="77777777" w:rsidTr="00AD1ACC">
        <w:tc>
          <w:tcPr>
            <w:tcW w:w="1490" w:type="dxa"/>
          </w:tcPr>
          <w:p w14:paraId="2076223E" w14:textId="1FA8F760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Trade Sr. No.</w:t>
            </w:r>
          </w:p>
        </w:tc>
        <w:tc>
          <w:tcPr>
            <w:tcW w:w="1613" w:type="dxa"/>
          </w:tcPr>
          <w:p w14:paraId="6F0C76CB" w14:textId="18CC616B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Time Stamp</w:t>
            </w:r>
          </w:p>
        </w:tc>
        <w:tc>
          <w:tcPr>
            <w:tcW w:w="1367" w:type="dxa"/>
          </w:tcPr>
          <w:p w14:paraId="4C363485" w14:textId="73C217D7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490" w:type="dxa"/>
          </w:tcPr>
          <w:p w14:paraId="5689A603" w14:textId="1AB2416B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Price</w:t>
            </w:r>
          </w:p>
        </w:tc>
        <w:tc>
          <w:tcPr>
            <w:tcW w:w="1490" w:type="dxa"/>
          </w:tcPr>
          <w:p w14:paraId="79B296CE" w14:textId="63874FED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Yield</w:t>
            </w:r>
          </w:p>
        </w:tc>
      </w:tr>
      <w:tr w:rsidR="00AD1ACC" w14:paraId="17F46561" w14:textId="77777777" w:rsidTr="00AD1ACC">
        <w:tc>
          <w:tcPr>
            <w:tcW w:w="1490" w:type="dxa"/>
          </w:tcPr>
          <w:p w14:paraId="647BD6F7" w14:textId="3026D0D4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</w:tcPr>
          <w:p w14:paraId="7DF2B198" w14:textId="6C86DAB1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09.01.35</w:t>
            </w:r>
          </w:p>
        </w:tc>
        <w:tc>
          <w:tcPr>
            <w:tcW w:w="1367" w:type="dxa"/>
          </w:tcPr>
          <w:p w14:paraId="62941BB0" w14:textId="7F115575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0" w:type="dxa"/>
          </w:tcPr>
          <w:p w14:paraId="66F7185C" w14:textId="370ACB27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306E7111" w14:textId="695F6463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  <w:tr w:rsidR="00AD1ACC" w14:paraId="779D529E" w14:textId="77777777" w:rsidTr="00AD1ACC">
        <w:tc>
          <w:tcPr>
            <w:tcW w:w="1490" w:type="dxa"/>
          </w:tcPr>
          <w:p w14:paraId="1B9986EB" w14:textId="5C261C45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</w:tcPr>
          <w:p w14:paraId="6BD995C6" w14:textId="5F99AC8D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09.01.39</w:t>
            </w:r>
          </w:p>
        </w:tc>
        <w:tc>
          <w:tcPr>
            <w:tcW w:w="1367" w:type="dxa"/>
          </w:tcPr>
          <w:p w14:paraId="1553B3CF" w14:textId="75B879EF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0" w:type="dxa"/>
          </w:tcPr>
          <w:p w14:paraId="4725CECF" w14:textId="13A8B84D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107BC766" w14:textId="1136322A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  <w:tr w:rsidR="00AD1ACC" w14:paraId="34C681FF" w14:textId="77777777" w:rsidTr="00AD1ACC">
        <w:tc>
          <w:tcPr>
            <w:tcW w:w="1490" w:type="dxa"/>
          </w:tcPr>
          <w:p w14:paraId="254E56A0" w14:textId="3D17794E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</w:tcPr>
          <w:p w14:paraId="495DFF02" w14:textId="6A74CA9F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09.01.41</w:t>
            </w:r>
          </w:p>
        </w:tc>
        <w:tc>
          <w:tcPr>
            <w:tcW w:w="1367" w:type="dxa"/>
          </w:tcPr>
          <w:p w14:paraId="360CC31F" w14:textId="412AB6D1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0" w:type="dxa"/>
          </w:tcPr>
          <w:p w14:paraId="22A65C79" w14:textId="4AB31200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63364A1F" w14:textId="672F1CAB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  <w:tr w:rsidR="00AD1ACC" w14:paraId="550EB3C8" w14:textId="77777777" w:rsidTr="00AD1ACC">
        <w:tc>
          <w:tcPr>
            <w:tcW w:w="1490" w:type="dxa"/>
          </w:tcPr>
          <w:p w14:paraId="4A6C924A" w14:textId="489570F0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3" w:type="dxa"/>
          </w:tcPr>
          <w:p w14:paraId="4234FA1F" w14:textId="756DA15E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09.01.50</w:t>
            </w:r>
          </w:p>
        </w:tc>
        <w:tc>
          <w:tcPr>
            <w:tcW w:w="1367" w:type="dxa"/>
          </w:tcPr>
          <w:p w14:paraId="056C5DEB" w14:textId="1EB44678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0" w:type="dxa"/>
          </w:tcPr>
          <w:p w14:paraId="295BAE01" w14:textId="52C67466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3D2F2797" w14:textId="156BBACB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  <w:tr w:rsidR="00AD1ACC" w14:paraId="53C8B08D" w14:textId="77777777" w:rsidTr="00AD1ACC">
        <w:tc>
          <w:tcPr>
            <w:tcW w:w="1490" w:type="dxa"/>
          </w:tcPr>
          <w:p w14:paraId="042CD315" w14:textId="07E758F5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3" w:type="dxa"/>
          </w:tcPr>
          <w:p w14:paraId="46AA6E32" w14:textId="610A6230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09.01.55</w:t>
            </w:r>
          </w:p>
        </w:tc>
        <w:tc>
          <w:tcPr>
            <w:tcW w:w="1367" w:type="dxa"/>
          </w:tcPr>
          <w:p w14:paraId="13525C64" w14:textId="74F9F893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0" w:type="dxa"/>
          </w:tcPr>
          <w:p w14:paraId="59AF3534" w14:textId="3FEBE34A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3198F3AB" w14:textId="60E9BC16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  <w:tr w:rsidR="00AD1ACC" w14:paraId="578AFD6D" w14:textId="77777777" w:rsidTr="00AD1ACC">
        <w:tc>
          <w:tcPr>
            <w:tcW w:w="1490" w:type="dxa"/>
          </w:tcPr>
          <w:p w14:paraId="443715F8" w14:textId="514C6554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3" w:type="dxa"/>
          </w:tcPr>
          <w:p w14:paraId="10529401" w14:textId="14BEA9F2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09.01.55</w:t>
            </w:r>
          </w:p>
        </w:tc>
        <w:tc>
          <w:tcPr>
            <w:tcW w:w="1367" w:type="dxa"/>
          </w:tcPr>
          <w:p w14:paraId="4B0493B9" w14:textId="120D5F7B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0" w:type="dxa"/>
          </w:tcPr>
          <w:p w14:paraId="09A4043D" w14:textId="1BA9C842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74435E71" w14:textId="01E176A1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  <w:tr w:rsidR="00AD1ACC" w14:paraId="3B03ED59" w14:textId="77777777" w:rsidTr="00AD1ACC">
        <w:tc>
          <w:tcPr>
            <w:tcW w:w="1490" w:type="dxa"/>
          </w:tcPr>
          <w:p w14:paraId="65C3908C" w14:textId="7AD81570" w:rsidR="00AD1ACC" w:rsidRDefault="00AD1ACC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3" w:type="dxa"/>
          </w:tcPr>
          <w:p w14:paraId="1A8D3749" w14:textId="2D8FE0FC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09.01.58</w:t>
            </w:r>
          </w:p>
        </w:tc>
        <w:tc>
          <w:tcPr>
            <w:tcW w:w="1367" w:type="dxa"/>
          </w:tcPr>
          <w:p w14:paraId="368E98A1" w14:textId="02A07598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90" w:type="dxa"/>
          </w:tcPr>
          <w:p w14:paraId="1782194E" w14:textId="6F1865B6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94.05</w:t>
            </w:r>
          </w:p>
        </w:tc>
        <w:tc>
          <w:tcPr>
            <w:tcW w:w="1490" w:type="dxa"/>
          </w:tcPr>
          <w:p w14:paraId="75117D61" w14:textId="4190C1C6" w:rsidR="00AD1ACC" w:rsidRDefault="00C91C38" w:rsidP="00AD1ACC">
            <w:pPr>
              <w:pStyle w:val="ListParagraph"/>
              <w:tabs>
                <w:tab w:val="left" w:pos="832"/>
              </w:tabs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7.3533</w:t>
            </w:r>
          </w:p>
        </w:tc>
      </w:tr>
    </w:tbl>
    <w:p w14:paraId="63945DD1" w14:textId="77777777" w:rsidR="00AD1ACC" w:rsidRPr="00082432" w:rsidRDefault="00AD1ACC" w:rsidP="00AD1ACC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2083541E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>Disputed trade</w:t>
      </w:r>
      <w:r w:rsidR="00643415">
        <w:rPr>
          <w:sz w:val="24"/>
        </w:rPr>
        <w:t>s were</w:t>
      </w:r>
      <w:r w:rsidRPr="00D97332">
        <w:rPr>
          <w:sz w:val="24"/>
        </w:rPr>
        <w:t xml:space="preserve"> </w:t>
      </w:r>
      <w:r w:rsidR="00A30CD0" w:rsidRPr="00A30CD0">
        <w:rPr>
          <w:sz w:val="24"/>
        </w:rPr>
        <w:t>1st,2nd, 4th, 5th, 6th, 7th and 8th trade</w:t>
      </w:r>
      <w:r w:rsidR="00A30CD0">
        <w:rPr>
          <w:sz w:val="24"/>
        </w:rPr>
        <w:t xml:space="preserve">  </w:t>
      </w:r>
      <w:r w:rsidRPr="00D97332">
        <w:rPr>
          <w:sz w:val="24"/>
        </w:rPr>
        <w:t xml:space="preserve"> in the Captioned Security.</w:t>
      </w:r>
      <w:r w:rsidRPr="00D97332">
        <w:rPr>
          <w:sz w:val="24"/>
        </w:rPr>
        <w:br/>
        <w:t xml:space="preserve">FBIL/FIMMDA valuation as on </w:t>
      </w:r>
      <w:r w:rsidR="00745B1D">
        <w:rPr>
          <w:sz w:val="24"/>
        </w:rPr>
        <w:t>2</w:t>
      </w:r>
      <w:r w:rsidR="000E22C4">
        <w:rPr>
          <w:sz w:val="24"/>
        </w:rPr>
        <w:t>9</w:t>
      </w:r>
      <w:r w:rsidRPr="00D97332">
        <w:rPr>
          <w:sz w:val="24"/>
        </w:rPr>
        <w:t xml:space="preserve">th </w:t>
      </w:r>
      <w:r w:rsidR="00932948">
        <w:rPr>
          <w:sz w:val="24"/>
        </w:rPr>
        <w:t>June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932948" w:rsidRPr="00932948">
        <w:rPr>
          <w:sz w:val="24"/>
        </w:rPr>
        <w:t>Rs.</w:t>
      </w:r>
      <w:r w:rsidR="000E22C4">
        <w:rPr>
          <w:sz w:val="24"/>
        </w:rPr>
        <w:t>94.62</w:t>
      </w:r>
      <w:r w:rsidR="00932948" w:rsidRPr="00932948">
        <w:rPr>
          <w:sz w:val="24"/>
        </w:rPr>
        <w:t>/</w:t>
      </w:r>
      <w:r w:rsidR="000E22C4">
        <w:rPr>
          <w:sz w:val="24"/>
        </w:rPr>
        <w:t>7</w:t>
      </w:r>
      <w:r w:rsidR="00745B1D">
        <w:rPr>
          <w:sz w:val="24"/>
        </w:rPr>
        <w:t>.</w:t>
      </w:r>
      <w:r w:rsidR="000E22C4">
        <w:rPr>
          <w:sz w:val="24"/>
        </w:rPr>
        <w:t>19</w:t>
      </w:r>
      <w:r w:rsidR="00932948" w:rsidRPr="00932948">
        <w:rPr>
          <w:sz w:val="24"/>
        </w:rPr>
        <w:t>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660D7E7B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0E22C4">
        <w:rPr>
          <w:sz w:val="24"/>
        </w:rPr>
        <w:t>Nine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70B52B41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7956D3">
        <w:rPr>
          <w:b/>
          <w:bCs/>
          <w:sz w:val="24"/>
        </w:rPr>
        <w:t>Small Finance Bank</w:t>
      </w:r>
      <w:r w:rsidR="008E19CA">
        <w:rPr>
          <w:b/>
          <w:bCs/>
          <w:sz w:val="24"/>
        </w:rPr>
        <w:t xml:space="preserve">, Private Bank, </w:t>
      </w:r>
      <w:r w:rsidR="007D29BB">
        <w:rPr>
          <w:b/>
          <w:bCs/>
          <w:sz w:val="24"/>
        </w:rPr>
        <w:t>and Foreign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3A19E2F3" w:rsidR="00D97332" w:rsidRDefault="00B73A7F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D97332">
        <w:rPr>
          <w:sz w:val="24"/>
        </w:rPr>
        <w:t xml:space="preserve"> the parties were advised to reverse the</w:t>
      </w:r>
      <w:r w:rsidR="00D97332">
        <w:rPr>
          <w:spacing w:val="-6"/>
          <w:sz w:val="24"/>
        </w:rPr>
        <w:t xml:space="preserve"> </w:t>
      </w:r>
      <w:r w:rsidR="00D97332"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20DBF897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327F61">
        <w:rPr>
          <w:sz w:val="24"/>
        </w:rPr>
        <w:t>0</w:t>
      </w:r>
      <w:r w:rsidR="007956D3">
        <w:rPr>
          <w:sz w:val="24"/>
        </w:rPr>
        <w:t>4</w:t>
      </w:r>
      <w:r>
        <w:rPr>
          <w:sz w:val="24"/>
        </w:rPr>
        <w:t xml:space="preserve">th </w:t>
      </w:r>
      <w:r w:rsidR="00327F61">
        <w:rPr>
          <w:sz w:val="24"/>
        </w:rPr>
        <w:t>Ju</w:t>
      </w:r>
      <w:r w:rsidR="00761877">
        <w:rPr>
          <w:sz w:val="24"/>
        </w:rPr>
        <w:t>ly</w:t>
      </w:r>
      <w:r w:rsidRPr="00721239">
        <w:rPr>
          <w:sz w:val="24"/>
        </w:rPr>
        <w:t xml:space="preserve"> 202</w:t>
      </w:r>
      <w:r w:rsidR="00327F61">
        <w:rPr>
          <w:sz w:val="24"/>
        </w:rPr>
        <w:t>2</w:t>
      </w:r>
      <w:r w:rsidRPr="00721239">
        <w:rPr>
          <w:sz w:val="24"/>
        </w:rPr>
        <w:t xml:space="preserve">, </w:t>
      </w:r>
      <w:r>
        <w:rPr>
          <w:sz w:val="24"/>
        </w:rPr>
        <w:t>the trade</w:t>
      </w:r>
      <w:r w:rsidR="00B73A7F">
        <w:rPr>
          <w:sz w:val="24"/>
        </w:rPr>
        <w:t>s</w:t>
      </w:r>
      <w:r>
        <w:rPr>
          <w:sz w:val="24"/>
        </w:rPr>
        <w:t xml:space="preserve"> w</w:t>
      </w:r>
      <w:r w:rsidR="00B73A7F">
        <w:rPr>
          <w:sz w:val="24"/>
        </w:rPr>
        <w:t>ere</w:t>
      </w:r>
      <w:r>
        <w:rPr>
          <w:sz w:val="24"/>
        </w:rPr>
        <w:t xml:space="preserve">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159649DC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DE33A2">
        <w:rPr>
          <w:sz w:val="24"/>
        </w:rPr>
        <w:t>5700000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533F" w14:textId="77777777" w:rsidR="009D23C8" w:rsidRDefault="009D23C8">
      <w:r>
        <w:separator/>
      </w:r>
    </w:p>
  </w:endnote>
  <w:endnote w:type="continuationSeparator" w:id="0">
    <w:p w14:paraId="7C2FFF97" w14:textId="77777777" w:rsidR="009D23C8" w:rsidRDefault="009D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E6B6" w14:textId="77777777" w:rsidR="009D23C8" w:rsidRDefault="009D23C8">
      <w:r>
        <w:separator/>
      </w:r>
    </w:p>
  </w:footnote>
  <w:footnote w:type="continuationSeparator" w:id="0">
    <w:p w14:paraId="5397F3F3" w14:textId="77777777" w:rsidR="009D23C8" w:rsidRDefault="009D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94144"/>
    <w:rsid w:val="000A447F"/>
    <w:rsid w:val="000E22C4"/>
    <w:rsid w:val="000E5D86"/>
    <w:rsid w:val="00107203"/>
    <w:rsid w:val="001139E5"/>
    <w:rsid w:val="001144D4"/>
    <w:rsid w:val="00145C37"/>
    <w:rsid w:val="00171EE1"/>
    <w:rsid w:val="001821BE"/>
    <w:rsid w:val="00185A9E"/>
    <w:rsid w:val="00187EBE"/>
    <w:rsid w:val="0022083E"/>
    <w:rsid w:val="00230E8B"/>
    <w:rsid w:val="00245D2E"/>
    <w:rsid w:val="00245FC5"/>
    <w:rsid w:val="00285BC3"/>
    <w:rsid w:val="002A4B87"/>
    <w:rsid w:val="00313F2B"/>
    <w:rsid w:val="00327F61"/>
    <w:rsid w:val="003533DD"/>
    <w:rsid w:val="0037605A"/>
    <w:rsid w:val="0038185B"/>
    <w:rsid w:val="00383A7D"/>
    <w:rsid w:val="003C397C"/>
    <w:rsid w:val="004718FB"/>
    <w:rsid w:val="00481DE0"/>
    <w:rsid w:val="004A5665"/>
    <w:rsid w:val="004D0F90"/>
    <w:rsid w:val="005038F9"/>
    <w:rsid w:val="00537083"/>
    <w:rsid w:val="00550F68"/>
    <w:rsid w:val="00580949"/>
    <w:rsid w:val="005E3644"/>
    <w:rsid w:val="005E38FF"/>
    <w:rsid w:val="00605B2A"/>
    <w:rsid w:val="006133F3"/>
    <w:rsid w:val="00643415"/>
    <w:rsid w:val="006466F2"/>
    <w:rsid w:val="00693535"/>
    <w:rsid w:val="006D42C3"/>
    <w:rsid w:val="006E72AA"/>
    <w:rsid w:val="00716752"/>
    <w:rsid w:val="00721239"/>
    <w:rsid w:val="00736399"/>
    <w:rsid w:val="00745B1D"/>
    <w:rsid w:val="007554EF"/>
    <w:rsid w:val="00761877"/>
    <w:rsid w:val="00776C43"/>
    <w:rsid w:val="007956D3"/>
    <w:rsid w:val="0079778B"/>
    <w:rsid w:val="00797FA8"/>
    <w:rsid w:val="007A2106"/>
    <w:rsid w:val="007D29BB"/>
    <w:rsid w:val="008168B4"/>
    <w:rsid w:val="008906DA"/>
    <w:rsid w:val="00890D8E"/>
    <w:rsid w:val="008D1838"/>
    <w:rsid w:val="008E19CA"/>
    <w:rsid w:val="00932948"/>
    <w:rsid w:val="00941311"/>
    <w:rsid w:val="0095754B"/>
    <w:rsid w:val="009D23C8"/>
    <w:rsid w:val="00A07880"/>
    <w:rsid w:val="00A12318"/>
    <w:rsid w:val="00A30CD0"/>
    <w:rsid w:val="00A40C95"/>
    <w:rsid w:val="00A42804"/>
    <w:rsid w:val="00A60F22"/>
    <w:rsid w:val="00A857F1"/>
    <w:rsid w:val="00AA39B1"/>
    <w:rsid w:val="00AB3528"/>
    <w:rsid w:val="00AC3BD5"/>
    <w:rsid w:val="00AD1ACC"/>
    <w:rsid w:val="00AD428B"/>
    <w:rsid w:val="00AE7C4C"/>
    <w:rsid w:val="00B40D66"/>
    <w:rsid w:val="00B65769"/>
    <w:rsid w:val="00B72A29"/>
    <w:rsid w:val="00B73A7F"/>
    <w:rsid w:val="00BD1DC6"/>
    <w:rsid w:val="00C77B80"/>
    <w:rsid w:val="00C91C38"/>
    <w:rsid w:val="00CB6071"/>
    <w:rsid w:val="00CC71E9"/>
    <w:rsid w:val="00CE5CBF"/>
    <w:rsid w:val="00CF02BC"/>
    <w:rsid w:val="00D17421"/>
    <w:rsid w:val="00D96F68"/>
    <w:rsid w:val="00D97332"/>
    <w:rsid w:val="00DE33A2"/>
    <w:rsid w:val="00E05B68"/>
    <w:rsid w:val="00E075FC"/>
    <w:rsid w:val="00E14711"/>
    <w:rsid w:val="00E22170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table" w:styleId="TableGrid">
    <w:name w:val="Table Grid"/>
    <w:basedOn w:val="TableNormal"/>
    <w:uiPriority w:val="39"/>
    <w:rsid w:val="00AD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15</cp:revision>
  <dcterms:created xsi:type="dcterms:W3CDTF">2021-04-08T06:10:00Z</dcterms:created>
  <dcterms:modified xsi:type="dcterms:W3CDTF">2022-12-05T05:58:00Z</dcterms:modified>
</cp:coreProperties>
</file>