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66AFC62D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A627B9">
        <w:rPr>
          <w:sz w:val="24"/>
          <w:szCs w:val="24"/>
        </w:rPr>
        <w:t>9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1ECAAE5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27B9">
        <w:rPr>
          <w:b/>
          <w:bCs/>
          <w:sz w:val="24"/>
        </w:rPr>
        <w:t>0</w:t>
      </w:r>
      <w:r w:rsidR="00D1525D">
        <w:rPr>
          <w:b/>
          <w:bCs/>
          <w:sz w:val="24"/>
        </w:rPr>
        <w:t>6.69 GS 2024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Dy.CEO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156DD53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>
        <w:t>)</w:t>
      </w:r>
    </w:p>
    <w:p w14:paraId="4AF1430C" w14:textId="7981455F" w:rsidR="00911B42" w:rsidRDefault="00911B42" w:rsidP="003D07FC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</w:t>
      </w:r>
      <w:r w:rsidR="00A521B2">
        <w:rPr>
          <w:u w:val="single"/>
        </w:rPr>
        <w:t>6.69</w:t>
      </w:r>
      <w:r w:rsidR="00FE16C1">
        <w:rPr>
          <w:u w:val="single"/>
        </w:rPr>
        <w:t xml:space="preserve"> </w:t>
      </w:r>
      <w:r w:rsidR="00A521B2">
        <w:rPr>
          <w:u w:val="single"/>
        </w:rPr>
        <w:t>GS 2024</w:t>
      </w:r>
      <w:r>
        <w:rPr>
          <w:u w:val="single"/>
        </w:rPr>
        <w:t xml:space="preserve"> 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A521B2">
        <w:rPr>
          <w:u w:val="single"/>
        </w:rPr>
        <w:t>1</w:t>
      </w:r>
      <w:r w:rsidR="00F53CF8">
        <w:rPr>
          <w:u w:val="single"/>
        </w:rPr>
        <w:t>9</w:t>
      </w:r>
      <w:r w:rsidR="00FE16C1" w:rsidRPr="00FE16C1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F53CF8">
        <w:rPr>
          <w:u w:val="single"/>
        </w:rPr>
        <w:t>Octobe</w:t>
      </w:r>
      <w:r w:rsidR="00DA0452">
        <w:rPr>
          <w:u w:val="single"/>
        </w:rPr>
        <w:t>r</w:t>
      </w:r>
      <w:r>
        <w:rPr>
          <w:u w:val="single"/>
        </w:rPr>
        <w:t xml:space="preserve"> 2023.</w:t>
      </w:r>
    </w:p>
    <w:p w14:paraId="24A6054B" w14:textId="77777777" w:rsidR="00911B42" w:rsidRDefault="00911B42" w:rsidP="003D07FC">
      <w:pPr>
        <w:pStyle w:val="BodyText"/>
        <w:spacing w:before="3"/>
        <w:jc w:val="both"/>
        <w:rPr>
          <w:b/>
          <w:sz w:val="17"/>
        </w:rPr>
      </w:pPr>
    </w:p>
    <w:p w14:paraId="1025D13C" w14:textId="77777777" w:rsidR="00911B42" w:rsidRDefault="00911B42" w:rsidP="003D07FC">
      <w:pPr>
        <w:pStyle w:val="BodyText"/>
        <w:spacing w:before="92"/>
        <w:ind w:left="111"/>
        <w:jc w:val="both"/>
      </w:pPr>
      <w:r>
        <w:t>The details of actions taken for settlement are as under:</w:t>
      </w:r>
    </w:p>
    <w:p w14:paraId="15D8AD1C" w14:textId="77777777" w:rsidR="00911B42" w:rsidRPr="00655573" w:rsidRDefault="00911B42" w:rsidP="003D07FC">
      <w:pPr>
        <w:pStyle w:val="BodyText"/>
        <w:spacing w:before="92"/>
        <w:ind w:left="111"/>
        <w:jc w:val="both"/>
      </w:pPr>
    </w:p>
    <w:p w14:paraId="6788233B" w14:textId="4A9ADD3F" w:rsidR="00F53CF8" w:rsidRPr="00F53CF8" w:rsidRDefault="00911B42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A521B2">
        <w:rPr>
          <w:sz w:val="24"/>
        </w:rPr>
        <w:t>1</w:t>
      </w:r>
      <w:r w:rsidR="00F53CF8">
        <w:rPr>
          <w:sz w:val="24"/>
        </w:rPr>
        <w:t>9</w:t>
      </w:r>
      <w:r w:rsidR="00D42E11" w:rsidRPr="00D42E11">
        <w:rPr>
          <w:sz w:val="24"/>
          <w:vertAlign w:val="superscript"/>
        </w:rPr>
        <w:t>th</w:t>
      </w:r>
      <w:r w:rsidR="00D42E11">
        <w:rPr>
          <w:sz w:val="24"/>
        </w:rPr>
        <w:t xml:space="preserve"> </w:t>
      </w:r>
      <w:r w:rsidR="00F53CF8">
        <w:rPr>
          <w:sz w:val="24"/>
        </w:rPr>
        <w:t>Octo</w:t>
      </w:r>
      <w:r w:rsidR="00D42E11">
        <w:rPr>
          <w:sz w:val="24"/>
        </w:rPr>
        <w:t>ber</w:t>
      </w:r>
      <w:r>
        <w:rPr>
          <w:sz w:val="24"/>
        </w:rPr>
        <w:t xml:space="preserve"> 2023 FIMMDA </w:t>
      </w:r>
      <w:r w:rsidRPr="00A56580">
        <w:rPr>
          <w:sz w:val="24"/>
        </w:rPr>
        <w:t>was informed by the</w:t>
      </w:r>
      <w:r w:rsidR="00A521B2">
        <w:rPr>
          <w:sz w:val="24"/>
        </w:rPr>
        <w:t xml:space="preserve"> Buyer </w:t>
      </w:r>
      <w:r w:rsidRPr="00A56580">
        <w:rPr>
          <w:sz w:val="24"/>
        </w:rPr>
        <w:t>(</w:t>
      </w:r>
      <w:r w:rsidR="00A521B2">
        <w:rPr>
          <w:sz w:val="24"/>
        </w:rPr>
        <w:t>Private Bank</w:t>
      </w:r>
      <w:r w:rsidR="00334EFA">
        <w:rPr>
          <w:sz w:val="24"/>
        </w:rPr>
        <w:t xml:space="preserve">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F53CF8">
        <w:rPr>
          <w:sz w:val="24"/>
        </w:rPr>
        <w:t>an</w:t>
      </w:r>
      <w:r w:rsidR="00D42E11">
        <w:rPr>
          <w:sz w:val="24"/>
        </w:rPr>
        <w:t xml:space="preserve"> </w:t>
      </w:r>
      <w:r>
        <w:rPr>
          <w:sz w:val="24"/>
        </w:rPr>
        <w:t>erroneous</w:t>
      </w:r>
      <w:r w:rsidRPr="00A56580">
        <w:rPr>
          <w:sz w:val="24"/>
        </w:rPr>
        <w:t xml:space="preserve"> </w:t>
      </w:r>
      <w:r>
        <w:rPr>
          <w:sz w:val="24"/>
        </w:rPr>
        <w:t>trade done by them,</w:t>
      </w:r>
      <w:r w:rsidR="00D42E11">
        <w:rPr>
          <w:sz w:val="24"/>
        </w:rPr>
        <w:t xml:space="preserve"> </w:t>
      </w:r>
      <w:r>
        <w:rPr>
          <w:sz w:val="24"/>
        </w:rPr>
        <w:t xml:space="preserve">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</w:p>
    <w:p w14:paraId="588F816F" w14:textId="0B3E13BE" w:rsidR="00BD490B" w:rsidRDefault="00911B42" w:rsidP="003D07FC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082432">
        <w:rPr>
          <w:sz w:val="24"/>
        </w:rPr>
        <w:t xml:space="preserve"> </w:t>
      </w:r>
    </w:p>
    <w:p w14:paraId="4E93E641" w14:textId="6AD2AB00" w:rsidR="00F53CF8" w:rsidRDefault="00BD490B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>The</w:t>
      </w:r>
      <w:r w:rsidR="00A521B2">
        <w:rPr>
          <w:sz w:val="24"/>
        </w:rPr>
        <w:t xml:space="preserve"> following</w:t>
      </w:r>
      <w:r w:rsidRPr="00BD490B">
        <w:rPr>
          <w:sz w:val="24"/>
        </w:rPr>
        <w:t xml:space="preserve"> </w:t>
      </w:r>
      <w:r w:rsidR="00A521B2">
        <w:rPr>
          <w:sz w:val="24"/>
        </w:rPr>
        <w:t>d</w:t>
      </w:r>
      <w:r w:rsidRPr="00BD490B">
        <w:rPr>
          <w:sz w:val="24"/>
        </w:rPr>
        <w:t>eal</w:t>
      </w:r>
      <w:r w:rsidR="00A521B2">
        <w:rPr>
          <w:sz w:val="24"/>
        </w:rPr>
        <w:t>s</w:t>
      </w:r>
      <w:r w:rsidRPr="00BD490B">
        <w:rPr>
          <w:sz w:val="24"/>
        </w:rPr>
        <w:t xml:space="preserve"> done in </w:t>
      </w:r>
      <w:r w:rsidR="00843AEE">
        <w:rPr>
          <w:sz w:val="24"/>
        </w:rPr>
        <w:t>0</w:t>
      </w:r>
      <w:r w:rsidR="00A521B2">
        <w:rPr>
          <w:sz w:val="24"/>
        </w:rPr>
        <w:t>6.69</w:t>
      </w:r>
      <w:r w:rsidR="006C7528">
        <w:rPr>
          <w:sz w:val="24"/>
        </w:rPr>
        <w:t xml:space="preserve"> GS 2024</w:t>
      </w:r>
      <w:r w:rsidR="00F53CF8">
        <w:rPr>
          <w:sz w:val="24"/>
        </w:rPr>
        <w:t xml:space="preserve"> for 5</w:t>
      </w:r>
      <w:r w:rsidR="00A521B2">
        <w:rPr>
          <w:sz w:val="24"/>
        </w:rPr>
        <w:t>0</w:t>
      </w:r>
      <w:r w:rsidR="00F53CF8">
        <w:rPr>
          <w:sz w:val="24"/>
        </w:rPr>
        <w:t xml:space="preserve"> crores </w:t>
      </w:r>
      <w:r w:rsidR="00A521B2">
        <w:rPr>
          <w:sz w:val="24"/>
        </w:rPr>
        <w:t>o</w:t>
      </w:r>
      <w:r w:rsidRPr="00BD490B">
        <w:rPr>
          <w:sz w:val="24"/>
        </w:rPr>
        <w:t>n NDS</w:t>
      </w:r>
      <w:r w:rsidR="006C7528">
        <w:rPr>
          <w:sz w:val="24"/>
        </w:rPr>
        <w:t>-</w:t>
      </w:r>
      <w:r w:rsidRPr="00BD490B">
        <w:rPr>
          <w:sz w:val="24"/>
        </w:rPr>
        <w:t xml:space="preserve">OM on </w:t>
      </w:r>
      <w:r w:rsidR="00A521B2">
        <w:rPr>
          <w:sz w:val="24"/>
        </w:rPr>
        <w:t>1</w:t>
      </w:r>
      <w:r w:rsidR="00F53CF8">
        <w:rPr>
          <w:sz w:val="24"/>
        </w:rPr>
        <w:t>9</w:t>
      </w:r>
      <w:r w:rsidR="00F53CF8">
        <w:rPr>
          <w:sz w:val="24"/>
          <w:vertAlign w:val="superscript"/>
        </w:rPr>
        <w:t xml:space="preserve">th </w:t>
      </w:r>
      <w:r w:rsidR="00F53CF8">
        <w:rPr>
          <w:sz w:val="24"/>
        </w:rPr>
        <w:t xml:space="preserve">October </w:t>
      </w:r>
      <w:r w:rsidRPr="00BD490B">
        <w:rPr>
          <w:sz w:val="24"/>
        </w:rPr>
        <w:t>2023 at 1</w:t>
      </w:r>
      <w:r w:rsidR="00AC691A">
        <w:rPr>
          <w:sz w:val="24"/>
        </w:rPr>
        <w:t>1</w:t>
      </w:r>
      <w:r w:rsidRPr="00BD490B">
        <w:rPr>
          <w:sz w:val="24"/>
        </w:rPr>
        <w:t>:</w:t>
      </w:r>
      <w:r w:rsidR="00AC691A">
        <w:rPr>
          <w:sz w:val="24"/>
        </w:rPr>
        <w:t>50</w:t>
      </w:r>
      <w:r w:rsidRPr="00BD490B">
        <w:rPr>
          <w:sz w:val="24"/>
        </w:rPr>
        <w:t>:</w:t>
      </w:r>
      <w:r w:rsidR="00F53CF8">
        <w:rPr>
          <w:sz w:val="24"/>
        </w:rPr>
        <w:t>32</w:t>
      </w:r>
      <w:r w:rsidRPr="00BD490B">
        <w:rPr>
          <w:sz w:val="24"/>
        </w:rPr>
        <w:t xml:space="preserve"> </w:t>
      </w:r>
      <w:r w:rsidR="006C7528" w:rsidRPr="00BD490B">
        <w:rPr>
          <w:sz w:val="24"/>
        </w:rPr>
        <w:t>hrs.</w:t>
      </w:r>
      <w:r w:rsidRPr="00BD490B">
        <w:rPr>
          <w:sz w:val="24"/>
        </w:rPr>
        <w:t> w</w:t>
      </w:r>
      <w:r w:rsidR="006C7528">
        <w:rPr>
          <w:sz w:val="24"/>
        </w:rPr>
        <w:t xml:space="preserve">ere </w:t>
      </w:r>
      <w:r w:rsidRPr="00BD490B">
        <w:rPr>
          <w:sz w:val="24"/>
        </w:rPr>
        <w:t>reported to be Off Market by the losing party.</w:t>
      </w:r>
    </w:p>
    <w:p w14:paraId="5445FD71" w14:textId="77777777" w:rsidR="006C7528" w:rsidRPr="006C7528" w:rsidRDefault="006C7528" w:rsidP="003D07FC">
      <w:pPr>
        <w:pStyle w:val="ListParagraph"/>
        <w:rPr>
          <w:sz w:val="24"/>
        </w:rPr>
      </w:pPr>
    </w:p>
    <w:p w14:paraId="14D04EC3" w14:textId="77777777" w:rsidR="006C7528" w:rsidRPr="006C7528" w:rsidRDefault="006C7528" w:rsidP="003D07FC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60"/>
        <w:jc w:val="both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 w:rsidRPr="006C75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25 crores at Rs.99.9850 / 6.6932%</w:t>
      </w:r>
    </w:p>
    <w:p w14:paraId="1193202C" w14:textId="6D29A89B" w:rsidR="006C7528" w:rsidRPr="006C7528" w:rsidRDefault="006C7528" w:rsidP="003D07FC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60"/>
        <w:jc w:val="both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 w:rsidRPr="006C75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25 crores at Rs.99.9850 / 6.6932%</w:t>
      </w:r>
    </w:p>
    <w:p w14:paraId="1AF5193E" w14:textId="77777777" w:rsidR="00F53CF8" w:rsidRPr="00F53CF8" w:rsidRDefault="00F53CF8" w:rsidP="003D07FC">
      <w:pPr>
        <w:pStyle w:val="ListParagraph"/>
        <w:rPr>
          <w:sz w:val="24"/>
        </w:rPr>
      </w:pPr>
    </w:p>
    <w:p w14:paraId="3CEC41A9" w14:textId="5436BA7B" w:rsidR="00F53CF8" w:rsidRDefault="00F53CF8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Th</w:t>
      </w:r>
      <w:r w:rsidR="00AC691A">
        <w:rPr>
          <w:sz w:val="24"/>
        </w:rPr>
        <w:t>ese were</w:t>
      </w:r>
      <w:r>
        <w:rPr>
          <w:sz w:val="24"/>
        </w:rPr>
        <w:t xml:space="preserve"> the only</w:t>
      </w:r>
      <w:r w:rsidR="00AC691A">
        <w:rPr>
          <w:sz w:val="24"/>
        </w:rPr>
        <w:t xml:space="preserve"> two </w:t>
      </w:r>
      <w:r>
        <w:rPr>
          <w:sz w:val="24"/>
        </w:rPr>
        <w:t>trade</w:t>
      </w:r>
      <w:r w:rsidR="00AC691A">
        <w:rPr>
          <w:sz w:val="24"/>
        </w:rPr>
        <w:t>s</w:t>
      </w:r>
      <w:r>
        <w:rPr>
          <w:sz w:val="24"/>
        </w:rPr>
        <w:t xml:space="preserve"> in the security</w:t>
      </w:r>
      <w:r w:rsidR="006C7528">
        <w:rPr>
          <w:sz w:val="24"/>
        </w:rPr>
        <w:t xml:space="preserve"> until it was reported to the DRC. </w:t>
      </w:r>
    </w:p>
    <w:p w14:paraId="4E9FB8DA" w14:textId="77777777" w:rsidR="00F53CF8" w:rsidRPr="00F53CF8" w:rsidRDefault="00F53CF8" w:rsidP="003D07FC">
      <w:pPr>
        <w:pStyle w:val="ListParagraph"/>
        <w:rPr>
          <w:sz w:val="24"/>
        </w:rPr>
      </w:pPr>
    </w:p>
    <w:p w14:paraId="78961E8B" w14:textId="1E96ED1A" w:rsidR="00BD490B" w:rsidRDefault="00BD490B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F53CF8">
        <w:rPr>
          <w:sz w:val="24"/>
        </w:rPr>
        <w:t>FBIL closing valuation as on 1</w:t>
      </w:r>
      <w:r w:rsidR="00AC691A">
        <w:rPr>
          <w:sz w:val="24"/>
        </w:rPr>
        <w:t>8</w:t>
      </w:r>
      <w:r w:rsidR="00AC691A" w:rsidRPr="00AC691A">
        <w:rPr>
          <w:sz w:val="24"/>
          <w:vertAlign w:val="superscript"/>
        </w:rPr>
        <w:t>th</w:t>
      </w:r>
      <w:r w:rsidR="00AC691A">
        <w:rPr>
          <w:sz w:val="24"/>
        </w:rPr>
        <w:t xml:space="preserve"> </w:t>
      </w:r>
      <w:r w:rsidR="006C7528">
        <w:rPr>
          <w:sz w:val="24"/>
        </w:rPr>
        <w:t>October</w:t>
      </w:r>
      <w:r w:rsidRPr="00F53CF8">
        <w:rPr>
          <w:sz w:val="24"/>
        </w:rPr>
        <w:t xml:space="preserve"> was Rs</w:t>
      </w:r>
      <w:r w:rsidR="00AC691A">
        <w:rPr>
          <w:sz w:val="24"/>
        </w:rPr>
        <w:t>. 99.6075</w:t>
      </w:r>
      <w:r w:rsidRPr="00F53CF8">
        <w:rPr>
          <w:sz w:val="24"/>
        </w:rPr>
        <w:t xml:space="preserve"> / </w:t>
      </w:r>
      <w:r w:rsidR="00CD6CE3">
        <w:rPr>
          <w:sz w:val="24"/>
        </w:rPr>
        <w:t>7.</w:t>
      </w:r>
      <w:r w:rsidR="00AC691A">
        <w:rPr>
          <w:sz w:val="24"/>
        </w:rPr>
        <w:t>2631</w:t>
      </w:r>
      <w:r w:rsidRPr="00F53CF8">
        <w:rPr>
          <w:sz w:val="24"/>
        </w:rPr>
        <w:t>%</w:t>
      </w:r>
    </w:p>
    <w:p w14:paraId="1207DAC0" w14:textId="77777777" w:rsidR="00F53CF8" w:rsidRPr="00F53CF8" w:rsidRDefault="00F53CF8" w:rsidP="003D07FC">
      <w:pPr>
        <w:tabs>
          <w:tab w:val="left" w:pos="832"/>
        </w:tabs>
        <w:ind w:right="105"/>
        <w:jc w:val="both"/>
        <w:rPr>
          <w:sz w:val="24"/>
        </w:rPr>
      </w:pPr>
    </w:p>
    <w:p w14:paraId="25773DC3" w14:textId="12221779" w:rsidR="00AC691A" w:rsidRPr="006C7528" w:rsidRDefault="00BD490B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6C7528">
        <w:rPr>
          <w:sz w:val="24"/>
        </w:rPr>
        <w:t xml:space="preserve">The matter was referred to Dispute Resolution Committee (DRC) and we received </w:t>
      </w:r>
      <w:r w:rsidR="00AC691A" w:rsidRPr="006C7528">
        <w:rPr>
          <w:sz w:val="24"/>
        </w:rPr>
        <w:t>eleven</w:t>
      </w:r>
      <w:r w:rsidRPr="006C7528">
        <w:rPr>
          <w:sz w:val="24"/>
        </w:rPr>
        <w:t xml:space="preserve"> (</w:t>
      </w:r>
      <w:r w:rsidR="00AC691A" w:rsidRPr="006C7528">
        <w:rPr>
          <w:sz w:val="24"/>
        </w:rPr>
        <w:t>11</w:t>
      </w:r>
      <w:r w:rsidRPr="006C7528">
        <w:rPr>
          <w:sz w:val="24"/>
        </w:rPr>
        <w:t>)</w:t>
      </w:r>
      <w:r w:rsidR="00F53CF8" w:rsidRPr="006C7528">
        <w:rPr>
          <w:sz w:val="24"/>
        </w:rPr>
        <w:t xml:space="preserve"> responses</w:t>
      </w:r>
      <w:r w:rsidR="006C7528">
        <w:rPr>
          <w:sz w:val="24"/>
        </w:rPr>
        <w:t xml:space="preserve"> </w:t>
      </w:r>
      <w:r w:rsidR="006C7528" w:rsidRPr="006C7528">
        <w:rPr>
          <w:sz w:val="24"/>
        </w:rPr>
        <w:t>out of Sixteen (16) ruling the two trades are erroneous and should be considered for reversal.</w:t>
      </w:r>
    </w:p>
    <w:p w14:paraId="3F1B13A2" w14:textId="77777777" w:rsidR="006C7528" w:rsidRPr="006C7528" w:rsidRDefault="006C7528" w:rsidP="003D07FC">
      <w:pPr>
        <w:tabs>
          <w:tab w:val="left" w:pos="832"/>
        </w:tabs>
        <w:ind w:right="105"/>
        <w:jc w:val="both"/>
        <w:rPr>
          <w:sz w:val="24"/>
        </w:rPr>
      </w:pPr>
    </w:p>
    <w:p w14:paraId="3D489B36" w14:textId="72B7D7DB" w:rsidR="00AC691A" w:rsidRDefault="00AC691A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There was one contrary decision. </w:t>
      </w:r>
    </w:p>
    <w:p w14:paraId="7B275AC2" w14:textId="77777777" w:rsidR="00AC691A" w:rsidRPr="00AC691A" w:rsidRDefault="00AC691A" w:rsidP="003D07FC">
      <w:pPr>
        <w:tabs>
          <w:tab w:val="left" w:pos="832"/>
        </w:tabs>
        <w:ind w:right="105"/>
        <w:jc w:val="both"/>
        <w:rPr>
          <w:sz w:val="24"/>
        </w:rPr>
      </w:pPr>
    </w:p>
    <w:p w14:paraId="198E73FC" w14:textId="0A601253" w:rsidR="001F7458" w:rsidRPr="00BD490B" w:rsidRDefault="001F7458" w:rsidP="003D07FC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Thus, the matter was </w:t>
      </w:r>
      <w:r w:rsidR="006C7528">
        <w:rPr>
          <w:sz w:val="24"/>
        </w:rPr>
        <w:t>conveyed</w:t>
      </w:r>
      <w:r>
        <w:rPr>
          <w:sz w:val="24"/>
        </w:rPr>
        <w:t xml:space="preserve"> to RBI. After </w:t>
      </w:r>
      <w:r w:rsidR="006C7528">
        <w:rPr>
          <w:sz w:val="24"/>
        </w:rPr>
        <w:t>seeking</w:t>
      </w:r>
      <w:r>
        <w:rPr>
          <w:sz w:val="24"/>
        </w:rPr>
        <w:t xml:space="preserve"> the necessary counterparty details from RBI, the deal was reversed on the NDS</w:t>
      </w:r>
      <w:r w:rsidR="006C7528">
        <w:rPr>
          <w:sz w:val="24"/>
        </w:rPr>
        <w:t>-</w:t>
      </w:r>
      <w:r>
        <w:rPr>
          <w:sz w:val="24"/>
        </w:rPr>
        <w:t>OM Reported Section on</w:t>
      </w:r>
      <w:r w:rsidR="00F53CF8">
        <w:rPr>
          <w:sz w:val="24"/>
        </w:rPr>
        <w:t xml:space="preserve"> </w:t>
      </w:r>
      <w:r w:rsidR="00AC691A">
        <w:rPr>
          <w:sz w:val="24"/>
        </w:rPr>
        <w:t>20</w:t>
      </w:r>
      <w:r w:rsidR="00F53CF8" w:rsidRPr="00F53CF8">
        <w:rPr>
          <w:sz w:val="24"/>
          <w:vertAlign w:val="superscript"/>
        </w:rPr>
        <w:t>th</w:t>
      </w:r>
      <w:r w:rsidR="00F53CF8">
        <w:rPr>
          <w:sz w:val="24"/>
        </w:rPr>
        <w:t xml:space="preserve"> October </w:t>
      </w:r>
      <w:r>
        <w:rPr>
          <w:sz w:val="24"/>
        </w:rPr>
        <w:t xml:space="preserve">2023. </w:t>
      </w:r>
    </w:p>
    <w:p w14:paraId="1B186D5C" w14:textId="77777777" w:rsidR="001F7458" w:rsidRPr="00BD490B" w:rsidRDefault="001F7458" w:rsidP="003D07FC">
      <w:pPr>
        <w:pStyle w:val="ListParagraph"/>
        <w:rPr>
          <w:color w:val="FF0000"/>
          <w:sz w:val="24"/>
        </w:rPr>
      </w:pPr>
    </w:p>
    <w:p w14:paraId="6ED55404" w14:textId="5925A461" w:rsidR="003A273F" w:rsidRPr="00CD6CE3" w:rsidRDefault="003A273F" w:rsidP="003D07FC">
      <w:pPr>
        <w:pStyle w:val="ListParagraph"/>
        <w:numPr>
          <w:ilvl w:val="0"/>
          <w:numId w:val="3"/>
        </w:numPr>
        <w:ind w:right="105"/>
        <w:rPr>
          <w:color w:val="000000" w:themeColor="text1"/>
          <w:sz w:val="24"/>
        </w:rPr>
      </w:pPr>
      <w:r w:rsidRPr="00CD6CE3">
        <w:rPr>
          <w:color w:val="000000" w:themeColor="text1"/>
          <w:sz w:val="24"/>
        </w:rPr>
        <w:t>The loss</w:t>
      </w:r>
      <w:r w:rsidR="00CD6CE3">
        <w:rPr>
          <w:color w:val="000000" w:themeColor="text1"/>
          <w:sz w:val="24"/>
        </w:rPr>
        <w:t xml:space="preserve"> / gain</w:t>
      </w:r>
      <w:r w:rsidRPr="00CD6CE3">
        <w:rPr>
          <w:color w:val="000000" w:themeColor="text1"/>
          <w:sz w:val="24"/>
        </w:rPr>
        <w:t xml:space="preserve"> reversed is Rs. </w:t>
      </w:r>
      <w:r w:rsidR="006D7491">
        <w:rPr>
          <w:color w:val="000000" w:themeColor="text1"/>
          <w:sz w:val="24"/>
        </w:rPr>
        <w:t>1</w:t>
      </w:r>
      <w:r w:rsidR="001744C8">
        <w:rPr>
          <w:color w:val="000000" w:themeColor="text1"/>
          <w:sz w:val="24"/>
        </w:rPr>
        <w:t>8,</w:t>
      </w:r>
      <w:r w:rsidR="006D7491">
        <w:rPr>
          <w:color w:val="000000" w:themeColor="text1"/>
          <w:sz w:val="24"/>
        </w:rPr>
        <w:t>87</w:t>
      </w:r>
      <w:r w:rsidR="001744C8">
        <w:rPr>
          <w:color w:val="000000" w:themeColor="text1"/>
          <w:sz w:val="24"/>
        </w:rPr>
        <w:t>,</w:t>
      </w:r>
      <w:r w:rsidR="006D7491">
        <w:rPr>
          <w:color w:val="000000" w:themeColor="text1"/>
          <w:sz w:val="24"/>
        </w:rPr>
        <w:t>50</w:t>
      </w:r>
      <w:r w:rsidR="003D07FC">
        <w:rPr>
          <w:color w:val="000000" w:themeColor="text1"/>
          <w:sz w:val="24"/>
        </w:rPr>
        <w:t>0</w:t>
      </w:r>
    </w:p>
    <w:p w14:paraId="6EE79234" w14:textId="77777777" w:rsidR="003A273F" w:rsidRPr="001F7458" w:rsidRDefault="003A273F" w:rsidP="003D07FC">
      <w:pPr>
        <w:pStyle w:val="ListParagraph"/>
        <w:rPr>
          <w:color w:val="000000" w:themeColor="text1"/>
          <w:sz w:val="24"/>
        </w:rPr>
      </w:pPr>
    </w:p>
    <w:p w14:paraId="33C02F69" w14:textId="30F8089D" w:rsidR="003A273F" w:rsidRPr="001F7458" w:rsidRDefault="003A273F" w:rsidP="003D07FC">
      <w:pPr>
        <w:pStyle w:val="ListParagraph"/>
        <w:numPr>
          <w:ilvl w:val="0"/>
          <w:numId w:val="3"/>
        </w:numPr>
        <w:ind w:right="105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>The reversal was informed to DRC Members</w:t>
      </w:r>
      <w:r w:rsidR="00982030" w:rsidRPr="001F7458">
        <w:rPr>
          <w:color w:val="000000" w:themeColor="text1"/>
          <w:sz w:val="24"/>
        </w:rPr>
        <w:t xml:space="preserve"> and RBI.</w:t>
      </w:r>
    </w:p>
    <w:p w14:paraId="620B3899" w14:textId="77777777" w:rsidR="00982030" w:rsidRPr="00BD490B" w:rsidRDefault="00982030" w:rsidP="00982030">
      <w:pPr>
        <w:pStyle w:val="ListParagraph"/>
        <w:rPr>
          <w:color w:val="FF0000"/>
          <w:sz w:val="24"/>
        </w:rPr>
      </w:pPr>
    </w:p>
    <w:p w14:paraId="633ACE5A" w14:textId="77777777" w:rsidR="00982030" w:rsidRPr="003A273F" w:rsidRDefault="00982030" w:rsidP="001368C5">
      <w:pPr>
        <w:pStyle w:val="ListParagraph"/>
        <w:ind w:left="720" w:right="105" w:firstLine="0"/>
        <w:jc w:val="left"/>
        <w:rPr>
          <w:sz w:val="24"/>
        </w:rPr>
      </w:pPr>
    </w:p>
    <w:p w14:paraId="030EB34E" w14:textId="77777777" w:rsidR="00C425F6" w:rsidRPr="00C425F6" w:rsidRDefault="00C425F6" w:rsidP="00C425F6">
      <w:pPr>
        <w:pStyle w:val="ListParagraph"/>
        <w:ind w:left="720" w:right="105" w:firstLine="0"/>
        <w:jc w:val="left"/>
        <w:rPr>
          <w:sz w:val="24"/>
        </w:rPr>
      </w:pPr>
    </w:p>
    <w:p w14:paraId="5880B38B" w14:textId="77777777" w:rsidR="00EE60D1" w:rsidRDefault="00EE60D1" w:rsidP="00EE60D1">
      <w:pPr>
        <w:ind w:right="105"/>
        <w:rPr>
          <w:sz w:val="24"/>
        </w:rPr>
      </w:pPr>
    </w:p>
    <w:p w14:paraId="27847770" w14:textId="77777777" w:rsidR="00EE60D1" w:rsidRPr="00EE60D1" w:rsidRDefault="00EE60D1" w:rsidP="00EE60D1">
      <w:pPr>
        <w:ind w:right="105"/>
        <w:rPr>
          <w:sz w:val="24"/>
        </w:rPr>
      </w:pPr>
    </w:p>
    <w:p w14:paraId="27BA11D9" w14:textId="679E83F8" w:rsidR="00334EFA" w:rsidRPr="00334EFA" w:rsidRDefault="00EE60D1" w:rsidP="00EE60D1">
      <w:pPr>
        <w:pStyle w:val="ListParagraph"/>
        <w:jc w:val="center"/>
        <w:rPr>
          <w:sz w:val="24"/>
        </w:rPr>
      </w:pPr>
      <w:r>
        <w:rPr>
          <w:sz w:val="24"/>
        </w:rPr>
        <w:t>----oo0oo----</w:t>
      </w:r>
    </w:p>
    <w:p w14:paraId="30F0FA2B" w14:textId="77777777" w:rsidR="00334EFA" w:rsidRDefault="00334EFA" w:rsidP="00334EFA">
      <w:pPr>
        <w:pStyle w:val="ListParagraph"/>
        <w:ind w:left="720" w:right="105" w:firstLine="0"/>
        <w:jc w:val="left"/>
        <w:rPr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B8C4" w14:textId="77777777" w:rsidR="00F020E5" w:rsidRDefault="00F020E5">
      <w:r>
        <w:separator/>
      </w:r>
    </w:p>
  </w:endnote>
  <w:endnote w:type="continuationSeparator" w:id="0">
    <w:p w14:paraId="06A89519" w14:textId="77777777" w:rsidR="00F020E5" w:rsidRDefault="00F0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0E74" w14:textId="77777777" w:rsidR="00F020E5" w:rsidRDefault="00F020E5">
      <w:r>
        <w:separator/>
      </w:r>
    </w:p>
  </w:footnote>
  <w:footnote w:type="continuationSeparator" w:id="0">
    <w:p w14:paraId="469467B2" w14:textId="77777777" w:rsidR="00F020E5" w:rsidRDefault="00F0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1DD36280"/>
    <w:multiLevelType w:val="multilevel"/>
    <w:tmpl w:val="43BA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4"/>
  </w:num>
  <w:num w:numId="4" w16cid:durableId="1764565105">
    <w:abstractNumId w:val="5"/>
  </w:num>
  <w:num w:numId="5" w16cid:durableId="116795908">
    <w:abstractNumId w:val="2"/>
  </w:num>
  <w:num w:numId="6" w16cid:durableId="1008824542">
    <w:abstractNumId w:val="8"/>
  </w:num>
  <w:num w:numId="7" w16cid:durableId="940647757">
    <w:abstractNumId w:val="7"/>
  </w:num>
  <w:num w:numId="8" w16cid:durableId="1023047850">
    <w:abstractNumId w:val="6"/>
  </w:num>
  <w:num w:numId="9" w16cid:durableId="43228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45C37"/>
    <w:rsid w:val="00164838"/>
    <w:rsid w:val="00165988"/>
    <w:rsid w:val="001744C8"/>
    <w:rsid w:val="001821BE"/>
    <w:rsid w:val="00185A9E"/>
    <w:rsid w:val="00187EBE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B6E70"/>
    <w:rsid w:val="003C397C"/>
    <w:rsid w:val="003C59D8"/>
    <w:rsid w:val="003D07FC"/>
    <w:rsid w:val="00424D5B"/>
    <w:rsid w:val="004718FB"/>
    <w:rsid w:val="00471D36"/>
    <w:rsid w:val="00475AF8"/>
    <w:rsid w:val="00481DE0"/>
    <w:rsid w:val="00494E78"/>
    <w:rsid w:val="004A5665"/>
    <w:rsid w:val="004D0F90"/>
    <w:rsid w:val="005038F9"/>
    <w:rsid w:val="00537083"/>
    <w:rsid w:val="005454BA"/>
    <w:rsid w:val="00550F68"/>
    <w:rsid w:val="00566DD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B421E"/>
    <w:rsid w:val="006C1BDF"/>
    <w:rsid w:val="006C7528"/>
    <w:rsid w:val="006D42C3"/>
    <w:rsid w:val="006D6301"/>
    <w:rsid w:val="006D7491"/>
    <w:rsid w:val="006E72AA"/>
    <w:rsid w:val="0070145F"/>
    <w:rsid w:val="00705C89"/>
    <w:rsid w:val="00710674"/>
    <w:rsid w:val="00716752"/>
    <w:rsid w:val="007207C1"/>
    <w:rsid w:val="00721239"/>
    <w:rsid w:val="007554EF"/>
    <w:rsid w:val="00756171"/>
    <w:rsid w:val="00760A31"/>
    <w:rsid w:val="00776C43"/>
    <w:rsid w:val="0079778B"/>
    <w:rsid w:val="00797FA8"/>
    <w:rsid w:val="007A2106"/>
    <w:rsid w:val="007D719A"/>
    <w:rsid w:val="007E6F99"/>
    <w:rsid w:val="00804F08"/>
    <w:rsid w:val="008057CE"/>
    <w:rsid w:val="008168B4"/>
    <w:rsid w:val="00843AEE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521B2"/>
    <w:rsid w:val="00A60F22"/>
    <w:rsid w:val="00A627B9"/>
    <w:rsid w:val="00A6583F"/>
    <w:rsid w:val="00A857F1"/>
    <w:rsid w:val="00AA151A"/>
    <w:rsid w:val="00AA39B1"/>
    <w:rsid w:val="00AB3528"/>
    <w:rsid w:val="00AC3BD5"/>
    <w:rsid w:val="00AC691A"/>
    <w:rsid w:val="00AD428B"/>
    <w:rsid w:val="00AE7C4C"/>
    <w:rsid w:val="00B2364B"/>
    <w:rsid w:val="00B25844"/>
    <w:rsid w:val="00B40D66"/>
    <w:rsid w:val="00B40F64"/>
    <w:rsid w:val="00B52008"/>
    <w:rsid w:val="00B61464"/>
    <w:rsid w:val="00B65769"/>
    <w:rsid w:val="00B668A1"/>
    <w:rsid w:val="00B71A9E"/>
    <w:rsid w:val="00B72A29"/>
    <w:rsid w:val="00B81AAB"/>
    <w:rsid w:val="00BA6C98"/>
    <w:rsid w:val="00BB04C9"/>
    <w:rsid w:val="00BB4A5C"/>
    <w:rsid w:val="00BD1DC6"/>
    <w:rsid w:val="00BD490B"/>
    <w:rsid w:val="00C1275D"/>
    <w:rsid w:val="00C425F6"/>
    <w:rsid w:val="00C471A1"/>
    <w:rsid w:val="00C75B0E"/>
    <w:rsid w:val="00C77B80"/>
    <w:rsid w:val="00CB6071"/>
    <w:rsid w:val="00CC71E9"/>
    <w:rsid w:val="00CD6CE3"/>
    <w:rsid w:val="00CE3A34"/>
    <w:rsid w:val="00CE5CBF"/>
    <w:rsid w:val="00CF02BC"/>
    <w:rsid w:val="00D1525D"/>
    <w:rsid w:val="00D17421"/>
    <w:rsid w:val="00D42E11"/>
    <w:rsid w:val="00D96243"/>
    <w:rsid w:val="00D96F68"/>
    <w:rsid w:val="00D97332"/>
    <w:rsid w:val="00DA0452"/>
    <w:rsid w:val="00DA59B2"/>
    <w:rsid w:val="00DC347C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020E5"/>
    <w:rsid w:val="00F25C12"/>
    <w:rsid w:val="00F52EF3"/>
    <w:rsid w:val="00F53CF8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21</cp:revision>
  <cp:lastPrinted>2023-06-12T08:46:00Z</cp:lastPrinted>
  <dcterms:created xsi:type="dcterms:W3CDTF">2023-08-24T13:15:00Z</dcterms:created>
  <dcterms:modified xsi:type="dcterms:W3CDTF">2023-11-03T12:34:00Z</dcterms:modified>
</cp:coreProperties>
</file>